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E4B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jc w:val="both"/>
        <w:textAlignment w:val="baseline"/>
        <w:outlineLvl w:val="0"/>
        <w:rPr>
          <w:rFonts w:hint="eastAsia" w:cs="仿宋"/>
          <w:b/>
          <w:bCs/>
          <w:color w:val="333333"/>
          <w:spacing w:val="6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333333"/>
          <w:spacing w:val="6"/>
          <w:sz w:val="28"/>
          <w:szCs w:val="28"/>
          <w:lang w:val="en-US" w:eastAsia="zh-CN"/>
        </w:rPr>
        <w:t xml:space="preserve">附件1        </w:t>
      </w:r>
    </w:p>
    <w:p w14:paraId="401922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jc w:val="center"/>
        <w:textAlignment w:val="baseline"/>
        <w:outlineLvl w:val="0"/>
        <w:rPr>
          <w:rFonts w:hint="eastAsia" w:ascii="黑体" w:hAnsi="黑体" w:eastAsia="黑体" w:cs="黑体"/>
          <w:b/>
          <w:bCs/>
          <w:color w:val="333333"/>
          <w:spacing w:val="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6"/>
          <w:sz w:val="36"/>
          <w:szCs w:val="36"/>
          <w:lang w:val="en-US" w:eastAsia="zh-CN"/>
        </w:rPr>
        <w:t>商标人才库人才职业能力培养</w:t>
      </w:r>
    </w:p>
    <w:p w14:paraId="56BE18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jc w:val="center"/>
        <w:textAlignment w:val="baseline"/>
        <w:outlineLvl w:val="0"/>
        <w:rPr>
          <w:rFonts w:hint="eastAsia" w:ascii="黑体" w:hAnsi="黑体" w:eastAsia="黑体" w:cs="黑体"/>
          <w:b/>
          <w:bCs/>
          <w:color w:val="333333"/>
          <w:spacing w:val="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6"/>
          <w:sz w:val="36"/>
          <w:szCs w:val="36"/>
          <w:lang w:val="en-US" w:eastAsia="zh-CN"/>
        </w:rPr>
        <w:t>“大家说”高端课程详情</w:t>
      </w:r>
    </w:p>
    <w:p w14:paraId="4AB2D4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62" w:firstLine="635" w:firstLineChars="0"/>
        <w:textAlignment w:val="baseline"/>
        <w:outlineLvl w:val="0"/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</w:rPr>
      </w:pPr>
    </w:p>
    <w:p w14:paraId="63D723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62" w:firstLine="635" w:firstLineChars="0"/>
        <w:textAlignment w:val="baseline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  <w:lang w:val="en-US" w:eastAsia="zh-CN"/>
        </w:rPr>
        <w:t>课程板块设置</w:t>
      </w:r>
    </w:p>
    <w:p w14:paraId="7BA396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firstLine="635" w:firstLineChars="0"/>
        <w:textAlignment w:val="baseline"/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</w:pPr>
      <w:r>
        <w:rPr>
          <w:rFonts w:hint="eastAsia" w:cs="仿宋"/>
          <w:color w:val="333333"/>
          <w:spacing w:val="16"/>
          <w:sz w:val="28"/>
          <w:szCs w:val="28"/>
          <w:lang w:val="en-US" w:eastAsia="zh-CN"/>
        </w:rPr>
        <w:t>（一）“</w:t>
      </w: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大家说</w:t>
      </w:r>
      <w:r>
        <w:rPr>
          <w:rFonts w:hint="eastAsia" w:cs="仿宋"/>
          <w:color w:val="333333"/>
          <w:spacing w:val="16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高端课程板块</w:t>
      </w:r>
    </w:p>
    <w:p w14:paraId="3EB19B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firstLine="635" w:firstLineChars="0"/>
        <w:textAlignment w:val="baseline"/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本板块旨在汇聚商标</w:t>
      </w:r>
      <w:r>
        <w:rPr>
          <w:rFonts w:hint="eastAsia" w:cs="仿宋"/>
          <w:color w:val="333333"/>
          <w:spacing w:val="16"/>
          <w:sz w:val="28"/>
          <w:szCs w:val="28"/>
          <w:lang w:val="en-US" w:eastAsia="zh-CN"/>
        </w:rPr>
        <w:t>大家及</w:t>
      </w: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行业权威声音，打造高端专业课程体系。由中华商标协会人才与教育专业委员会指导，联合商标人才库特级人才</w:t>
      </w:r>
      <w:r>
        <w:rPr>
          <w:rFonts w:hint="eastAsia" w:cs="仿宋"/>
          <w:color w:val="333333"/>
          <w:spacing w:val="16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商标行业头部机构、知名专家学者</w:t>
      </w:r>
      <w:r>
        <w:rPr>
          <w:rFonts w:hint="eastAsia" w:cs="仿宋"/>
          <w:color w:val="333333"/>
          <w:spacing w:val="16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领军企业代表组建师资团队。依托授课专家深厚的专业理论功底与丰富的实践经验，课程将聚焦商标行业前沿动态，深度剖析行业发展趋势、热点问题及创新实践模式。</w:t>
      </w:r>
    </w:p>
    <w:p w14:paraId="27F696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firstLine="635" w:firstLineChars="0"/>
        <w:textAlignment w:val="baseline"/>
        <w:outlineLvl w:val="0"/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333333"/>
          <w:spacing w:val="6"/>
          <w:sz w:val="28"/>
          <w:szCs w:val="28"/>
          <w:lang w:val="en-US" w:eastAsia="zh-CN"/>
        </w:rPr>
        <w:t>课程具体要求</w:t>
      </w:r>
    </w:p>
    <w:p w14:paraId="23C752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firstLine="635" w:firstLineChars="0"/>
        <w:textAlignment w:val="baseline"/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（一）课程定位与目标</w:t>
      </w:r>
    </w:p>
    <w:p w14:paraId="5685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pacing w:val="16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课程需紧密围绕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商标人才库《商标代理职业能力培养大纲（试行）》及商标人才库《企业商标管理职业能力培养大纲（试行）》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符合商标人才库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人才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职业能力培养体系整体规划。</w:t>
      </w:r>
    </w:p>
    <w:p w14:paraId="1C914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课程适用对象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：</w:t>
      </w:r>
    </w:p>
    <w:p w14:paraId="5D2C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default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（1）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商标代理人员；</w:t>
      </w:r>
    </w:p>
    <w:p w14:paraId="0D636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（2）企业商标管理及应用人员；</w:t>
      </w:r>
    </w:p>
    <w:p w14:paraId="4F993D18">
      <w:pPr>
        <w:widowControl w:val="0"/>
        <w:kinsoku/>
        <w:autoSpaceDE/>
        <w:autoSpaceDN/>
        <w:ind w:right="0" w:firstLine="635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（3）其他有意提升专业知识的相关人员。</w:t>
      </w:r>
    </w:p>
    <w:p w14:paraId="20DD99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firstLine="635" w:firstLineChars="0"/>
        <w:textAlignment w:val="baseline"/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应征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课程内容规范</w:t>
      </w:r>
    </w:p>
    <w:p w14:paraId="6CC33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  <w:t>1.课程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内容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符合国家法律法规及行业规范，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充分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体现科学性、权威性和实用性，避免出现错误或争议性观点。​</w:t>
      </w:r>
    </w:p>
    <w:p w14:paraId="0D26B3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firstLine="635" w:firstLineChars="0"/>
        <w:textAlignment w:val="baseline"/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鼓励融入行业最新政策、前沿技术（如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AI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在商标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行业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中的应用）</w:t>
      </w: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典型案例等内容，体现课程的时代性和前瞻性。</w:t>
      </w:r>
    </w:p>
    <w:p w14:paraId="5321FD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firstLine="635" w:firstLineChars="0"/>
        <w:textAlignment w:val="baseline"/>
        <w:rPr>
          <w:rFonts w:hint="default" w:ascii="仿宋" w:hAnsi="仿宋" w:eastAsia="仿宋" w:cs="仿宋"/>
          <w:b/>
          <w:bCs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b/>
          <w:bCs/>
          <w:color w:val="333333"/>
          <w:sz w:val="28"/>
          <w:szCs w:val="28"/>
          <w:highlight w:val="none"/>
          <w:lang w:val="en-US" w:eastAsia="zh-CN"/>
        </w:rPr>
        <w:t>三、授课专家要求</w:t>
      </w:r>
    </w:p>
    <w:p w14:paraId="3A9815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firstLine="635" w:firstLineChars="0"/>
        <w:textAlignment w:val="baseline"/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（一）资质要求</w:t>
      </w:r>
    </w:p>
    <w:p w14:paraId="2A1573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default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1.商标人才库特级人才</w:t>
      </w:r>
    </w:p>
    <w:p w14:paraId="7F4281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default" w:cs="仿宋"/>
          <w:color w:val="333333"/>
          <w:sz w:val="28"/>
          <w:szCs w:val="28"/>
          <w:highlight w:val="none"/>
          <w:lang w:val="en-US" w:eastAsia="zh-CN"/>
        </w:rPr>
        <w:t>需为中华商标协会商标人才库</w:t>
      </w: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商标代理特级人才或企业商标管理特级人才</w:t>
      </w:r>
      <w:r>
        <w:rPr>
          <w:rFonts w:hint="default" w:cs="仿宋"/>
          <w:color w:val="333333"/>
          <w:sz w:val="28"/>
          <w:szCs w:val="28"/>
          <w:highlight w:val="none"/>
          <w:lang w:val="en-US" w:eastAsia="zh-CN"/>
        </w:rPr>
        <w:t>，在商标代理、企业商标管理等实务领域具有突出贡献，</w:t>
      </w: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（</w:t>
      </w:r>
      <w:r>
        <w:rPr>
          <w:rFonts w:hint="default" w:cs="仿宋"/>
          <w:color w:val="333333"/>
          <w:sz w:val="28"/>
          <w:szCs w:val="28"/>
          <w:highlight w:val="none"/>
          <w:lang w:val="en-US" w:eastAsia="zh-CN"/>
        </w:rPr>
        <w:t>如代理具有重大社会影响的商标案件、参与制定行业标准或政策法规等</w:t>
      </w: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）</w:t>
      </w:r>
      <w:r>
        <w:rPr>
          <w:rFonts w:hint="default" w:cs="仿宋"/>
          <w:color w:val="333333"/>
          <w:sz w:val="28"/>
          <w:szCs w:val="28"/>
          <w:highlight w:val="none"/>
          <w:lang w:val="en-US" w:eastAsia="zh-CN"/>
        </w:rPr>
        <w:t>；经专委会综合评估，其专业能力、行业口碑及实践经验均处于行业顶尖水平。</w:t>
      </w:r>
    </w:p>
    <w:p w14:paraId="449169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default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2.知名专家学者</w:t>
      </w:r>
    </w:p>
    <w:p w14:paraId="7CDE43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需具备商标领域相关专业（如知识产权法、企业管理等）副高级及以上职称，或在国内外知名高校、科研机构从事商标研究工作满10年以上；近5年内在核心期刊</w:t>
      </w:r>
      <w:r>
        <w:rPr>
          <w:rFonts w:hint="eastAsia" w:cs="仿宋"/>
          <w:color w:val="333333"/>
          <w:sz w:val="28"/>
          <w:szCs w:val="28"/>
          <w:highlight w:val="none"/>
          <w:lang w:eastAsia="zh-CN"/>
        </w:rPr>
        <w:t>、</w:t>
      </w: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专业期刊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发表过不少于3篇商标领域学术</w:t>
      </w: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文章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，或主持过国家级、省部级商标相关科研项目；在商标理论研究、政策解读等领域具有广泛的行业影响力，其学术观点或研究成果被行业权威机构引用或采纳。</w:t>
      </w:r>
    </w:p>
    <w:p w14:paraId="711823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630" w:leftChars="0" w:right="40" w:rightChars="0"/>
        <w:textAlignment w:val="baseline"/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3.领军企业代表</w:t>
      </w:r>
    </w:p>
    <w:p w14:paraId="66E632E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需担任国内外知名企业（含上市公司、行业龙头企业）商标管理部门负责人及以上职务满10年，或在企业商标战略规划、品牌运营、知识产权保护等领域具有卓越实践成果；主导过重大商标项目（如国际商标布局、商标侵权诉讼胜诉案件、知名品牌培育等），并形成可复制的成功经验；在行业内具有较高知名度。</w:t>
      </w:r>
    </w:p>
    <w:p w14:paraId="1015721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（二）职业道德与社会声誉要求</w:t>
      </w:r>
    </w:p>
    <w:p w14:paraId="0D7104D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1.具有良好的职业操守，严格遵守国家法律法规及行业规范，近5年内无任何违法违规记录或行业处分记录。</w:t>
      </w:r>
    </w:p>
    <w:p w14:paraId="4B1130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default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color w:val="333333"/>
          <w:sz w:val="28"/>
          <w:szCs w:val="28"/>
          <w:highlight w:val="none"/>
          <w:lang w:val="en-US" w:eastAsia="zh-CN"/>
        </w:rPr>
        <w:t>2、在商标行业内具有良好的公众形象和社会评价，无侵犯他人知识产权、商业秘密等失信行为。</w:t>
      </w:r>
    </w:p>
    <w:p w14:paraId="30FA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highlight w:val="none"/>
          <w:lang w:val="en-US" w:eastAsia="zh-CN"/>
        </w:rPr>
        <w:t>四、版权说明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​</w:t>
      </w:r>
    </w:p>
    <w:p w14:paraId="5EFB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应征课程须为原创作品，不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得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存在抄袭、侵权等问题。如因课程内容侵犯他人合法权益（包括但不限于知识产权、名誉权、隐私权、肖像权、商业秘密权等），相关法律责任由应征人承担。</w:t>
      </w:r>
    </w:p>
    <w:p w14:paraId="4791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专委会对入选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课程享有著作权、使用权及相关收益权。​</w:t>
      </w:r>
    </w:p>
    <w:p w14:paraId="331BA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highlight w:val="none"/>
          <w:lang w:val="en-US" w:eastAsia="zh-CN"/>
        </w:rPr>
        <w:t>五、激励机制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​</w:t>
      </w:r>
    </w:p>
    <w:p w14:paraId="7B60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firstLine="635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通过专委会审核并成功入选的课程专家，其相关信息（如单位名称、专家姓名、专业领域、课程简介等）将在相应教育板块予以展示推介，以充分展示专家的行业知名度和影响力。此外，专委会将为专家颁发商标人才库人才职业能力培养“大家说”高端课程聘用证书，并在教育版块进行展示。</w:t>
      </w:r>
    </w:p>
    <w:p w14:paraId="437B114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应征流程</w:t>
      </w:r>
    </w:p>
    <w:p w14:paraId="7B1D9087"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40" w:rightChars="0" w:firstLine="635" w:firstLineChars="0"/>
        <w:textAlignment w:val="baseline"/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应征流程采用邀请与自主报名相结合的方式。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邀请是</w:t>
      </w:r>
      <w:r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由专委会定向邀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请</w:t>
      </w:r>
      <w:r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商标行业头部机构、知名专家学者、领军企业代表及商标人才库特级人才等，鼓励其积极参与课程开发；自主报名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是由</w:t>
      </w:r>
      <w:r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社会各界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人士主动应征</w:t>
      </w:r>
      <w:r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，特别是商标人才库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已入库的</w:t>
      </w:r>
      <w:r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单位和个人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，为课程的创新和发展注入新鲜血液。</w:t>
      </w:r>
      <w:r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具体流程如下：</w:t>
      </w:r>
    </w:p>
    <w:p w14:paraId="2F82B83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报名及专家确定</w:t>
      </w:r>
    </w:p>
    <w:p w14:paraId="7C39A036"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default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请有意向的单位和个人及时提交报名信息，经邀请或自主报名后，专委会将对报名人员进行资质审核，确定授课专家名单。</w:t>
      </w:r>
    </w:p>
    <w:p w14:paraId="0F10A3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确定课程题目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及内容</w:t>
      </w:r>
    </w:p>
    <w:p w14:paraId="50E4D2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应征人可结合自身优势自拟课程题目，也可从专委会提供的题目清单中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选题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，提交课程大纲或简介，由专委会专家组审核后确定最终题目及内容（如需调整需研讨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确认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），确认后签署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相关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版权协议。</w:t>
      </w:r>
    </w:p>
    <w:p w14:paraId="1415C64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default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三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）提交课件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及审核</w:t>
      </w:r>
    </w:p>
    <w:p w14:paraId="022796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应征人应依据确定的课程题目及提纲，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形成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PPT或PDF格式的课程课件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并提交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，由专委会专家组进行审核（如需调整需研讨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确认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），以确保课件质量。</w:t>
      </w:r>
    </w:p>
    <w:p w14:paraId="626677F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四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）录制</w:t>
      </w:r>
      <w:r>
        <w:rPr>
          <w:rFonts w:hint="eastAsia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与审核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课程视频</w:t>
      </w:r>
    </w:p>
    <w:p w14:paraId="434A5C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right="0" w:rightChars="0" w:firstLine="635" w:firstLineChars="0"/>
        <w:textAlignment w:val="baseline"/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highlight w:val="none"/>
          <w:lang w:val="en-US" w:eastAsia="zh-CN" w:bidi="ar-SA"/>
        </w:rPr>
        <w:t>应征人依据确认后的课件，参照录制要求进行课程视频录制，并将录制完成的视频提交专委会。专委会将进行审核剪辑（如需调整需补录或重录），最终经过专家组审核通过后上传。</w:t>
      </w:r>
    </w:p>
    <w:p w14:paraId="4A99CC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62D97"/>
    <w:multiLevelType w:val="singleLevel"/>
    <w:tmpl w:val="79D62D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761BE"/>
    <w:rsid w:val="641F1000"/>
    <w:rsid w:val="7CD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1748</Words>
  <Characters>1765</Characters>
  <Lines>0</Lines>
  <Paragraphs>0</Paragraphs>
  <TotalTime>2</TotalTime>
  <ScaleCrop>false</ScaleCrop>
  <LinksUpToDate>false</LinksUpToDate>
  <CharactersWithSpaces>1773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2025-06-17T02:50:00Z</dcterms:created>
  <dc:creator>Admin</dc:creator>
  <cp:lastModifiedBy>marrfy</cp:lastModifiedBy>
  <dcterms:modified xsi:type="dcterms:W3CDTF">2025-06-20T08:12:04Z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eyJoZGlkIjoiMzI5M2ViYjg5MThkYTU1NDI2YWQ4ZmE4MTk3Y2ZlMmYiLCJ1c2VySWQiOiIyMzE1Mjg0OTUifQ==</vt:lpwstr>
  </property>
  <property fmtid="{D5CDD505-2E9C-101B-9397-08002B2CF9AE}" pid="4" name="ICV">
    <vt:lpwstr>94E94BA377F04C998234D7BF90A1935B_12</vt:lpwstr>
  </property>
</Properties>
</file>